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60A2" w14:textId="77777777" w:rsidR="00CF1895" w:rsidRPr="00743CF7" w:rsidRDefault="00CF1895">
      <w:pPr>
        <w:rPr>
          <w:lang w:val="sr-Latn-BA"/>
        </w:rPr>
      </w:pPr>
    </w:p>
    <w:p w14:paraId="4DD00CE7" w14:textId="77777777" w:rsidR="00F76077" w:rsidRDefault="00F76077">
      <w:pPr>
        <w:rPr>
          <w:lang w:val="sr-Cyrl-BA"/>
        </w:rPr>
      </w:pPr>
    </w:p>
    <w:p w14:paraId="418BE2E5" w14:textId="77777777" w:rsidR="00F76077" w:rsidRDefault="00F76077">
      <w:pPr>
        <w:rPr>
          <w:lang w:val="sr-Cyrl-BA"/>
        </w:rPr>
      </w:pPr>
    </w:p>
    <w:p w14:paraId="2E8C3107" w14:textId="77777777" w:rsidR="00F76077" w:rsidRDefault="00F76077">
      <w:pPr>
        <w:rPr>
          <w:lang w:val="sr-Cyrl-BA"/>
        </w:rPr>
      </w:pPr>
    </w:p>
    <w:p w14:paraId="5341981B" w14:textId="77777777" w:rsidR="00FB1893" w:rsidRPr="00EE030C" w:rsidRDefault="00FB1893" w:rsidP="00FB1893">
      <w:pPr>
        <w:rPr>
          <w:rStyle w:val="Emphasis"/>
          <w:sz w:val="22"/>
          <w:szCs w:val="22"/>
          <w:lang w:val="sr-Latn-BA"/>
        </w:rPr>
      </w:pPr>
    </w:p>
    <w:p w14:paraId="1675375A" w14:textId="77777777" w:rsidR="00F76077" w:rsidRPr="00EE030C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 xml:space="preserve"> </w:t>
      </w:r>
    </w:p>
    <w:p w14:paraId="29D92E9F" w14:textId="77777777" w:rsidR="00F76077" w:rsidRPr="00EE030C" w:rsidRDefault="00F76077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0BDE42B6" w14:textId="77777777" w:rsidR="006858F9" w:rsidRDefault="006858F9" w:rsidP="00500359">
      <w:pPr>
        <w:tabs>
          <w:tab w:val="left" w:pos="8595"/>
        </w:tabs>
      </w:pPr>
    </w:p>
    <w:p w14:paraId="68B1F564" w14:textId="77777777" w:rsidR="006858F9" w:rsidRDefault="006858F9" w:rsidP="00500359">
      <w:pPr>
        <w:tabs>
          <w:tab w:val="left" w:pos="8595"/>
        </w:tabs>
      </w:pPr>
    </w:p>
    <w:p w14:paraId="0E1FDCCA" w14:textId="77777777" w:rsidR="006314F2" w:rsidRPr="00EE030C" w:rsidRDefault="00500359" w:rsidP="00500359">
      <w:pPr>
        <w:tabs>
          <w:tab w:val="left" w:pos="8595"/>
        </w:tabs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ab/>
      </w:r>
    </w:p>
    <w:p w14:paraId="7765F497" w14:textId="77777777" w:rsidR="00F76077" w:rsidRPr="00EE030C" w:rsidRDefault="00F76077" w:rsidP="00F76077">
      <w:pPr>
        <w:rPr>
          <w:rFonts w:ascii="Arial" w:hAnsi="Arial" w:cs="Arial"/>
          <w:sz w:val="22"/>
          <w:szCs w:val="22"/>
          <w:lang w:val="sr-Cyrl-BA"/>
        </w:rPr>
      </w:pPr>
    </w:p>
    <w:p w14:paraId="1D654270" w14:textId="77777777" w:rsidR="00C2021B" w:rsidRPr="008E28A4" w:rsidRDefault="00C2021B" w:rsidP="00C2021B">
      <w:pPr>
        <w:rPr>
          <w:lang w:val="sr-Cyrl-BA"/>
        </w:rPr>
      </w:pPr>
    </w:p>
    <w:p w14:paraId="50B286A6" w14:textId="77777777" w:rsidR="00C2021B" w:rsidRPr="008E28A4" w:rsidRDefault="00C2021B" w:rsidP="00C2021B">
      <w:pPr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</w:t>
      </w:r>
      <w:r w:rsidRPr="008E28A4">
        <w:rPr>
          <w:rFonts w:ascii="Arial" w:hAnsi="Arial" w:cs="Arial"/>
          <w:lang w:val="sr-Cyrl-BA"/>
        </w:rPr>
        <w:t>ОБРАЂИВАЧ: Одјељење за</w:t>
      </w:r>
      <w:r w:rsidRPr="008E28A4">
        <w:rPr>
          <w:rFonts w:ascii="Arial" w:eastAsia="Arial" w:hAnsi="Arial" w:cs="Arial"/>
          <w:lang w:val="sr-Cyrl-BA"/>
        </w:rPr>
        <w:t xml:space="preserve"> </w:t>
      </w:r>
      <w:r w:rsidRPr="008E28A4">
        <w:rPr>
          <w:rFonts w:ascii="Arial" w:hAnsi="Arial" w:cs="Arial"/>
          <w:lang w:val="sr-Cyrl-BA"/>
        </w:rPr>
        <w:t xml:space="preserve">комуналне и 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</w:t>
      </w:r>
      <w:r w:rsidRPr="008E28A4">
        <w:rPr>
          <w:rFonts w:ascii="Arial" w:hAnsi="Arial" w:cs="Arial"/>
          <w:lang w:val="sr-Cyrl-BA"/>
        </w:rPr>
        <w:t xml:space="preserve">стамбене послове  </w:t>
      </w:r>
    </w:p>
    <w:p w14:paraId="6BE45E7A" w14:textId="77777777" w:rsidR="00C2021B" w:rsidRPr="008E28A4" w:rsidRDefault="00C2021B" w:rsidP="00C2021B">
      <w:pPr>
        <w:jc w:val="both"/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</w:t>
      </w:r>
    </w:p>
    <w:p w14:paraId="330955C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                                      </w:t>
      </w:r>
    </w:p>
    <w:p w14:paraId="082D471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C0DA20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20E1B32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236248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224474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4D0434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4B16FE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61FCA57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CA22D0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6797E0C" w14:textId="26C21AD5" w:rsidR="00820C16" w:rsidRDefault="00820C16" w:rsidP="00820C16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И Н Ф О Р М А Ц И Ј А</w:t>
      </w:r>
    </w:p>
    <w:p w14:paraId="5DE590C3" w14:textId="77777777" w:rsidR="00820C16" w:rsidRDefault="00820C16" w:rsidP="00820C16">
      <w:pPr>
        <w:jc w:val="both"/>
        <w:rPr>
          <w:rFonts w:ascii="Arial" w:hAnsi="Arial" w:cs="Arial"/>
          <w:lang w:val="sr-Cyrl-BA"/>
        </w:rPr>
      </w:pPr>
    </w:p>
    <w:p w14:paraId="4AEF7316" w14:textId="77777777" w:rsidR="00820C16" w:rsidRDefault="00820C16" w:rsidP="00820C16">
      <w:pPr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</w:t>
      </w:r>
      <w:r>
        <w:rPr>
          <w:rFonts w:ascii="Arial" w:hAnsi="Arial" w:cs="Arial"/>
          <w:lang w:val="sr-Cyrl-BA"/>
        </w:rPr>
        <w:t>о стању у јавном путничком превозу и такси превозу</w:t>
      </w:r>
    </w:p>
    <w:p w14:paraId="5F1F028F" w14:textId="77777777" w:rsidR="00820C16" w:rsidRDefault="00820C16" w:rsidP="00820C16">
      <w:pPr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</w:t>
      </w:r>
      <w:r>
        <w:rPr>
          <w:rFonts w:ascii="Arial" w:hAnsi="Arial" w:cs="Arial"/>
          <w:lang w:val="sr-Cyrl-BA"/>
        </w:rPr>
        <w:t>на подручју града Градишка за 20</w:t>
      </w:r>
      <w:r>
        <w:rPr>
          <w:rFonts w:ascii="Arial" w:hAnsi="Arial" w:cs="Arial"/>
          <w:lang w:val="sr-Latn-BA"/>
        </w:rPr>
        <w:t>25</w:t>
      </w:r>
      <w:r>
        <w:rPr>
          <w:rFonts w:ascii="Arial" w:hAnsi="Arial" w:cs="Arial"/>
          <w:lang w:val="sr-Cyrl-BA"/>
        </w:rPr>
        <w:t>. годину</w:t>
      </w:r>
    </w:p>
    <w:p w14:paraId="612D9C7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DD8C40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FE5BE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BB7D8D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705FF2E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C1B4A1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DF6786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74C5E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1D81B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77353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1E45063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90B46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0A6933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16964F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52367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4011114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7F92AE4" w14:textId="77777777" w:rsidR="00C2021B" w:rsidRPr="008E28A4" w:rsidRDefault="00C2021B" w:rsidP="00C2021B">
      <w:pPr>
        <w:jc w:val="both"/>
        <w:rPr>
          <w:lang w:val="sr-Cyrl-BA"/>
        </w:rPr>
      </w:pPr>
    </w:p>
    <w:p w14:paraId="5CEF6C21" w14:textId="77777777" w:rsidR="00C2021B" w:rsidRPr="008E28A4" w:rsidRDefault="00C2021B" w:rsidP="00C2021B">
      <w:pPr>
        <w:jc w:val="both"/>
        <w:rPr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</w:t>
      </w:r>
    </w:p>
    <w:p w14:paraId="68141F21" w14:textId="77777777" w:rsidR="00C2021B" w:rsidRPr="008E28A4" w:rsidRDefault="00C2021B" w:rsidP="00C2021B">
      <w:pPr>
        <w:jc w:val="both"/>
        <w:rPr>
          <w:lang w:val="sr-Cyrl-BA"/>
        </w:rPr>
      </w:pPr>
    </w:p>
    <w:p w14:paraId="66FB1977" w14:textId="77777777" w:rsidR="00C2021B" w:rsidRPr="008E28A4" w:rsidRDefault="00C2021B" w:rsidP="00C2021B">
      <w:pPr>
        <w:jc w:val="both"/>
        <w:rPr>
          <w:lang w:val="sr-Cyrl-BA"/>
        </w:rPr>
      </w:pPr>
    </w:p>
    <w:p w14:paraId="4A0CDA53" w14:textId="77777777" w:rsidR="00C2021B" w:rsidRPr="008E28A4" w:rsidRDefault="00C2021B" w:rsidP="00C2021B">
      <w:pPr>
        <w:jc w:val="both"/>
        <w:rPr>
          <w:lang w:val="sr-Cyrl-BA"/>
        </w:rPr>
      </w:pPr>
    </w:p>
    <w:p w14:paraId="6A2071CD" w14:textId="77777777" w:rsidR="00C2021B" w:rsidRPr="00C2021B" w:rsidRDefault="00C2021B" w:rsidP="00C2021B">
      <w:pPr>
        <w:jc w:val="both"/>
        <w:rPr>
          <w:lang w:val="sr-Latn-BA"/>
        </w:rPr>
      </w:pPr>
    </w:p>
    <w:p w14:paraId="79BAA288" w14:textId="77777777" w:rsidR="00C2021B" w:rsidRPr="008E28A4" w:rsidRDefault="00C2021B" w:rsidP="00C2021B">
      <w:pPr>
        <w:jc w:val="both"/>
        <w:rPr>
          <w:lang w:val="sr-Cyrl-BA"/>
        </w:rPr>
      </w:pPr>
    </w:p>
    <w:p w14:paraId="33CFC1BF" w14:textId="4E329F22" w:rsidR="00C302A2" w:rsidRPr="00820C16" w:rsidRDefault="00AA4452" w:rsidP="00820C16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Градишка,</w:t>
      </w:r>
      <w:r w:rsidR="00E47AFC">
        <w:rPr>
          <w:rFonts w:ascii="Arial" w:hAnsi="Arial" w:cs="Arial"/>
          <w:lang w:val="sr-Latn-BA"/>
        </w:rPr>
        <w:t xml:space="preserve"> </w:t>
      </w:r>
      <w:r w:rsidR="002837E4">
        <w:rPr>
          <w:rFonts w:ascii="Arial" w:hAnsi="Arial" w:cs="Arial"/>
          <w:lang w:val="sr-Cyrl-BA"/>
        </w:rPr>
        <w:t>фебруар</w:t>
      </w:r>
      <w:r w:rsidR="00C2021B" w:rsidRPr="008E28A4">
        <w:rPr>
          <w:rFonts w:ascii="Arial" w:hAnsi="Arial" w:cs="Arial"/>
          <w:lang w:val="sr-Cyrl-BA"/>
        </w:rPr>
        <w:t xml:space="preserve"> 20</w:t>
      </w:r>
      <w:r w:rsidR="00C2021B">
        <w:rPr>
          <w:rFonts w:ascii="Arial" w:hAnsi="Arial" w:cs="Arial"/>
          <w:lang w:val="sr-Cyrl-BA"/>
        </w:rPr>
        <w:t>2</w:t>
      </w:r>
      <w:r w:rsidR="002837E4">
        <w:rPr>
          <w:rFonts w:ascii="Arial" w:hAnsi="Arial" w:cs="Arial"/>
          <w:lang w:val="sr-Cyrl-BA"/>
        </w:rPr>
        <w:t>6</w:t>
      </w:r>
      <w:r w:rsidR="00C2021B" w:rsidRPr="008E28A4">
        <w:rPr>
          <w:rFonts w:ascii="Arial" w:hAnsi="Arial" w:cs="Arial"/>
          <w:lang w:val="sr-Cyrl-BA"/>
        </w:rPr>
        <w:t>. године</w:t>
      </w:r>
    </w:p>
    <w:p w14:paraId="41FB004C" w14:textId="55473F9F" w:rsidR="00C302A2" w:rsidRDefault="00C302A2" w:rsidP="00C302A2">
      <w:pPr>
        <w:jc w:val="both"/>
        <w:rPr>
          <w:rFonts w:ascii="Arial" w:hAnsi="Arial" w:cs="Arial"/>
          <w:lang w:val="sr-Latn-BA"/>
        </w:rPr>
      </w:pPr>
    </w:p>
    <w:p w14:paraId="078BE18A" w14:textId="77777777" w:rsidR="00C302A2" w:rsidRDefault="00C302A2" w:rsidP="00C302A2">
      <w:pPr>
        <w:rPr>
          <w:lang w:val="sr-Latn-BA"/>
        </w:rPr>
      </w:pPr>
    </w:p>
    <w:p w14:paraId="1C581984" w14:textId="77777777" w:rsidR="00C302A2" w:rsidRDefault="00C302A2" w:rsidP="00C302A2">
      <w:pPr>
        <w:pStyle w:val="Heading1"/>
        <w:numPr>
          <w:ilvl w:val="0"/>
          <w:numId w:val="0"/>
        </w:numPr>
        <w:tabs>
          <w:tab w:val="left" w:pos="0"/>
        </w:tabs>
        <w:ind w:left="432"/>
        <w:rPr>
          <w:rFonts w:ascii="Arial" w:eastAsia="Calibri" w:hAnsi="Arial" w:cs="Arial"/>
          <w:sz w:val="24"/>
          <w:lang w:val="sr-Cyrl-BA"/>
        </w:rPr>
      </w:pPr>
      <w:r>
        <w:rPr>
          <w:rFonts w:ascii="Arial" w:eastAsia="Calibri" w:hAnsi="Arial" w:cs="Arial"/>
          <w:sz w:val="24"/>
          <w:lang w:val="sr-Cyrl-BA"/>
        </w:rPr>
        <w:t>УВОД</w:t>
      </w:r>
    </w:p>
    <w:p w14:paraId="7AD7A122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lang w:val="sr-Cyrl-BA"/>
        </w:rPr>
        <w:br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b w:val="0"/>
          <w:bCs w:val="0"/>
          <w:lang w:val="sr-Cyrl-BA"/>
        </w:rPr>
        <w:t>У складу са Програмом рада Скупштине градa за 202</w:t>
      </w:r>
      <w:r>
        <w:rPr>
          <w:rFonts w:ascii="Arial" w:hAnsi="Arial" w:cs="Arial"/>
          <w:b w:val="0"/>
          <w:bCs w:val="0"/>
          <w:lang w:val="sr-Latn-BA"/>
        </w:rPr>
        <w:t>6</w:t>
      </w:r>
      <w:r>
        <w:rPr>
          <w:rFonts w:ascii="Arial" w:hAnsi="Arial" w:cs="Arial"/>
          <w:b w:val="0"/>
          <w:bCs w:val="0"/>
          <w:lang w:val="sr-Cyrl-BA"/>
        </w:rPr>
        <w:t>. годину, урађена је ова информација која има за циљ упознавање са проблематиком у овој области, са досадашњим активностима које су предузете, као и онима које се намјеравају предузети.</w:t>
      </w:r>
    </w:p>
    <w:p w14:paraId="3D4DA0CB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Према Закону о превозу у друмском саобраћају Републике Српске (''Службени гласник Републике Српске'', број: 47/17 и 17/23), јавни превоз лица у друмском саобраћају може се обављати као линијски и ванлинијски превоз. Превоз могу вршити предузећа и физичка лица која имају одобрење од надлежног </w:t>
      </w:r>
      <w:r>
        <w:rPr>
          <w:rFonts w:ascii="Arial" w:hAnsi="Arial" w:cs="Arial"/>
          <w:b w:val="0"/>
          <w:bCs w:val="0"/>
          <w:lang w:val="sr-Latn-BA"/>
        </w:rPr>
        <w:t xml:space="preserve">регистрационог </w:t>
      </w:r>
      <w:r>
        <w:rPr>
          <w:rFonts w:ascii="Arial" w:hAnsi="Arial" w:cs="Arial"/>
          <w:b w:val="0"/>
          <w:bCs w:val="0"/>
          <w:lang w:val="sr-Cyrl-BA"/>
        </w:rPr>
        <w:t xml:space="preserve">органа. </w:t>
      </w:r>
    </w:p>
    <w:p w14:paraId="661E66EF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Физичка лица која имају више од два моторна возила у власништву, обавезна су дјелатност јавног превоза регистровати као правно лице. За обављање јавног линијског превоза, поред осталих услова, превозник мора располагати са најмање два аутобуса за линијски и једним за ванлинијски саобраћај, а који испуњавају услове прописане Правилником о издавању лиценци превозника, извода из лиценце и начину означавања возила (Службени гласник Републике Српске, број:77/17).</w:t>
      </w:r>
    </w:p>
    <w:p w14:paraId="375FBAD6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Latn-BA"/>
        </w:rPr>
      </w:pPr>
      <w:r>
        <w:rPr>
          <w:rFonts w:ascii="Arial" w:hAnsi="Arial" w:cs="Arial"/>
          <w:b w:val="0"/>
          <w:bCs w:val="0"/>
          <w:lang w:val="sr-Cyrl-BA"/>
        </w:rPr>
        <w:tab/>
        <w:t>Јавни превоз у линијском друмском саобраћају је превоз лица и ствари на одређеним линијама по утврђеном реду вожње, а може се вршити као градски, приградски,</w:t>
      </w:r>
      <w:r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 xml:space="preserve">републички, међуентитетски и међународни превоз. </w:t>
      </w:r>
      <w:r>
        <w:rPr>
          <w:rFonts w:ascii="Arial" w:hAnsi="Arial" w:cs="Arial"/>
          <w:b w:val="0"/>
          <w:bCs w:val="0"/>
          <w:lang w:val="sr-Cyrl-BA"/>
        </w:rPr>
        <w:br/>
      </w:r>
      <w:r>
        <w:rPr>
          <w:rFonts w:ascii="Arial" w:hAnsi="Arial" w:cs="Arial"/>
          <w:b w:val="0"/>
          <w:bCs w:val="0"/>
          <w:lang w:val="sr-Cyrl-BA"/>
        </w:rPr>
        <w:tab/>
        <w:t xml:space="preserve">Такси превоз може вршити превозник само на подручју јединице локалне самоуправе на којем има регистровано сједиште. </w:t>
      </w:r>
    </w:p>
    <w:p w14:paraId="12220B2F" w14:textId="4124EC97" w:rsidR="00C302A2" w:rsidRPr="004A7508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color w:val="FF0000"/>
          <w:lang w:val="sr-Cyrl-RS"/>
        </w:rPr>
      </w:pPr>
      <w:r>
        <w:rPr>
          <w:rFonts w:ascii="Arial" w:hAnsi="Arial" w:cs="Arial"/>
          <w:b w:val="0"/>
          <w:bCs w:val="0"/>
          <w:lang w:val="sr-Latn-BA"/>
        </w:rPr>
        <w:tab/>
      </w:r>
    </w:p>
    <w:p w14:paraId="3F13BCF3" w14:textId="77777777" w:rsidR="00C302A2" w:rsidRDefault="00C302A2" w:rsidP="00C302A2">
      <w:pPr>
        <w:tabs>
          <w:tab w:val="left" w:pos="0"/>
        </w:tabs>
        <w:jc w:val="both"/>
        <w:rPr>
          <w:rFonts w:ascii="Arial" w:eastAsia="Arial" w:hAnsi="Arial" w:cs="Arial"/>
          <w:i/>
          <w:iCs/>
          <w:lang w:val="sr-Cyrl-BA"/>
        </w:rPr>
      </w:pPr>
      <w:r>
        <w:rPr>
          <w:rFonts w:ascii="Arial" w:hAnsi="Arial" w:cs="Arial"/>
          <w:i/>
          <w:iCs/>
          <w:lang w:val="sr-Cyrl-BA"/>
        </w:rPr>
        <w:t>ПРИГРАДСКИ ПРЕВОЗ</w:t>
      </w:r>
      <w:r>
        <w:rPr>
          <w:rFonts w:ascii="Arial" w:eastAsia="Arial" w:hAnsi="Arial" w:cs="Arial"/>
          <w:i/>
          <w:iCs/>
          <w:lang w:val="sr-Cyrl-BA"/>
        </w:rPr>
        <w:t xml:space="preserve"> </w:t>
      </w:r>
      <w:r>
        <w:rPr>
          <w:rFonts w:ascii="Arial" w:hAnsi="Arial" w:cs="Arial"/>
          <w:i/>
          <w:iCs/>
          <w:lang w:val="sr-Cyrl-BA"/>
        </w:rPr>
        <w:t>НА ПОДРУЧЈУ ГРАДА</w:t>
      </w:r>
    </w:p>
    <w:p w14:paraId="73449CED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lang w:val="sr-Cyrl-BA"/>
        </w:rPr>
      </w:pPr>
    </w:p>
    <w:p w14:paraId="2A452A75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b w:val="0"/>
          <w:bCs w:val="0"/>
          <w:lang w:val="sr-Cyrl-BA"/>
        </w:rPr>
        <w:t>На подручју градa Градишка заступљен је приградски превоз који је, у смислу Закона о превозу у друмском саобраћају, линијски превоз лица између два или више насеља на подручју града која су означена таблама насељеног мјеста. Превоз лица у линијском друмском саобраћају може се вршити искључиво на основу регистрованог реда вожње уписаног у Регистру редова вожње.</w:t>
      </w:r>
    </w:p>
    <w:p w14:paraId="3A7A95CF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У извјештајном периоду превоз је вршен од стране 7 регистрованих  превозника за линијски и 1 превозника за ванлинијски превоз лица. </w:t>
      </w:r>
    </w:p>
    <w:p w14:paraId="0BD1EEBC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Такође, у извјештајном периоду није било регистровања нових редова вожње, а ни брисања полазака на неком од постојећих редова вожње или постојећег реда вожње у цјелости.</w:t>
      </w:r>
    </w:p>
    <w:p w14:paraId="0FC04F2F" w14:textId="0F2069CC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color w:val="FF000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Приградски линијски саобраћај на подручју града Градишка превозници обављају са укупно </w:t>
      </w:r>
      <w:r>
        <w:rPr>
          <w:rFonts w:ascii="Arial" w:hAnsi="Arial" w:cs="Arial"/>
          <w:b w:val="0"/>
          <w:bCs w:val="0"/>
          <w:lang w:val="sr-Latn-BA"/>
        </w:rPr>
        <w:t>30</w:t>
      </w:r>
      <w:r>
        <w:rPr>
          <w:rFonts w:ascii="Arial" w:hAnsi="Arial" w:cs="Arial"/>
          <w:b w:val="0"/>
          <w:bCs w:val="0"/>
          <w:color w:val="FF0000"/>
          <w:lang w:val="sr-Cyrl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 xml:space="preserve">аутобуса од којих превозник ''Павловић турс'' д.о.о. Бања Лука располаже са 3 возне јединице, превозник ''Путник експрес'' д.о.о. Градишка располаже са </w:t>
      </w:r>
      <w:r>
        <w:rPr>
          <w:rFonts w:ascii="Arial" w:hAnsi="Arial" w:cs="Arial"/>
          <w:b w:val="0"/>
          <w:bCs w:val="0"/>
          <w:lang w:val="sr-Latn-BA"/>
        </w:rPr>
        <w:t>2</w:t>
      </w:r>
      <w:r>
        <w:rPr>
          <w:rFonts w:ascii="Arial" w:hAnsi="Arial" w:cs="Arial"/>
          <w:b w:val="0"/>
          <w:bCs w:val="0"/>
          <w:lang w:val="sr-Cyrl-BA"/>
        </w:rPr>
        <w:t xml:space="preserve"> возне јединице, превозник Шатара Дејан с.п. Градишка располаже са 2 возне јединице, превозник ''Штрбац турс'' д.о.о. располаже са 11 возних јединица,  превозник ''Лукић'' располаже са </w:t>
      </w:r>
      <w:r>
        <w:rPr>
          <w:rFonts w:ascii="Arial" w:hAnsi="Arial" w:cs="Arial"/>
          <w:b w:val="0"/>
          <w:bCs w:val="0"/>
          <w:lang w:val="sr-Latn-BA"/>
        </w:rPr>
        <w:t>3</w:t>
      </w:r>
      <w:r>
        <w:rPr>
          <w:rFonts w:ascii="Arial" w:hAnsi="Arial" w:cs="Arial"/>
          <w:b w:val="0"/>
          <w:bCs w:val="0"/>
          <w:lang w:val="sr-Cyrl-BA"/>
        </w:rPr>
        <w:t xml:space="preserve"> возн</w:t>
      </w:r>
      <w:r>
        <w:rPr>
          <w:rFonts w:ascii="Arial" w:hAnsi="Arial" w:cs="Arial"/>
          <w:b w:val="0"/>
          <w:bCs w:val="0"/>
          <w:lang w:val="sr-Latn-BA"/>
        </w:rPr>
        <w:t>e</w:t>
      </w:r>
      <w:r>
        <w:rPr>
          <w:rFonts w:ascii="Arial" w:hAnsi="Arial" w:cs="Arial"/>
          <w:b w:val="0"/>
          <w:bCs w:val="0"/>
          <w:lang w:val="sr-Cyrl-BA"/>
        </w:rPr>
        <w:t xml:space="preserve"> јединиц</w:t>
      </w:r>
      <w:r>
        <w:rPr>
          <w:rFonts w:ascii="Arial" w:hAnsi="Arial" w:cs="Arial"/>
          <w:b w:val="0"/>
          <w:bCs w:val="0"/>
          <w:lang w:val="sr-Latn-BA"/>
        </w:rPr>
        <w:t>e</w:t>
      </w:r>
      <w:r>
        <w:rPr>
          <w:rFonts w:ascii="Arial" w:hAnsi="Arial" w:cs="Arial"/>
          <w:b w:val="0"/>
          <w:bCs w:val="0"/>
          <w:lang w:val="sr-Cyrl-BA"/>
        </w:rPr>
        <w:t xml:space="preserve">, превозник Видовић Дарко с.п. Душаново располаже са 3 возне јединице и превозник ''Путник тоурс'' д.о.о. Градишка располаже са </w:t>
      </w:r>
      <w:r>
        <w:rPr>
          <w:rFonts w:ascii="Arial" w:hAnsi="Arial" w:cs="Arial"/>
          <w:b w:val="0"/>
          <w:bCs w:val="0"/>
          <w:lang w:val="sr-Latn-BA"/>
        </w:rPr>
        <w:t>6</w:t>
      </w:r>
      <w:r>
        <w:rPr>
          <w:rFonts w:ascii="Arial" w:hAnsi="Arial" w:cs="Arial"/>
          <w:b w:val="0"/>
          <w:bCs w:val="0"/>
          <w:lang w:val="sr-Cyrl-BA"/>
        </w:rPr>
        <w:t xml:space="preserve"> возних јединица.</w:t>
      </w:r>
      <w:r>
        <w:rPr>
          <w:rFonts w:ascii="Arial" w:hAnsi="Arial" w:cs="Arial"/>
          <w:b w:val="0"/>
          <w:bCs w:val="0"/>
          <w:lang w:val="sr-Cyrl-BA"/>
        </w:rPr>
        <w:br/>
      </w:r>
      <w:r>
        <w:rPr>
          <w:rFonts w:ascii="Arial" w:hAnsi="Arial" w:cs="Arial"/>
          <w:b w:val="0"/>
          <w:bCs w:val="0"/>
          <w:lang w:val="sr-Cyrl-BA"/>
        </w:rPr>
        <w:tab/>
        <w:t>Као полазн</w:t>
      </w:r>
      <w:r>
        <w:rPr>
          <w:rFonts w:ascii="Arial" w:hAnsi="Arial" w:cs="Arial"/>
          <w:b w:val="0"/>
          <w:bCs w:val="0"/>
          <w:lang w:val="sr-Latn-BA"/>
        </w:rPr>
        <w:t>a</w:t>
      </w:r>
      <w:r>
        <w:rPr>
          <w:rFonts w:ascii="Arial" w:hAnsi="Arial" w:cs="Arial"/>
          <w:b w:val="0"/>
          <w:bCs w:val="0"/>
          <w:lang w:val="sr-Cyrl-BA"/>
        </w:rPr>
        <w:t xml:space="preserve"> станиц</w:t>
      </w:r>
      <w:r>
        <w:rPr>
          <w:rFonts w:ascii="Arial" w:hAnsi="Arial" w:cs="Arial"/>
          <w:b w:val="0"/>
          <w:bCs w:val="0"/>
          <w:lang w:val="sr-Latn-BA"/>
        </w:rPr>
        <w:t>a</w:t>
      </w:r>
      <w:r>
        <w:rPr>
          <w:rFonts w:ascii="Arial" w:hAnsi="Arial" w:cs="Arial"/>
          <w:b w:val="0"/>
          <w:bCs w:val="0"/>
          <w:lang w:val="sr-Cyrl-BA"/>
        </w:rPr>
        <w:t xml:space="preserve"> за приградски превоз у извјештајном периоду за највећи број регистрованих линија се користила аутобуска станица Градишка, као станица прве категорије, док је дио линија којим се врши линијски превоз ученика основне школе ''Васа Чубриловић''</w:t>
      </w:r>
      <w:r w:rsidR="00474DA8"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(линија за Ламинце-Качавенде, Долину и Жеравицу) и ученика основне школе ''Данило Борковић''</w:t>
      </w:r>
      <w:r w:rsidR="00474DA8"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 xml:space="preserve">(линија за Бок Јанковац, Мачковац и Брестовчину и линија за Козинце и Греду)  вршен са званичних </w:t>
      </w:r>
      <w:r>
        <w:rPr>
          <w:rFonts w:ascii="Arial" w:hAnsi="Arial" w:cs="Arial"/>
          <w:b w:val="0"/>
          <w:bCs w:val="0"/>
          <w:lang w:val="sr-Cyrl-BA"/>
        </w:rPr>
        <w:lastRenderedPageBreak/>
        <w:t>стајалишта у улицама Руђера Бошковића и Видовданска. Поред овог, линијски превоз ученика основне школе ''Петар Кочић'' у Новој Тополи је вршен са окретнице смјештеној уз саму школу (линије за Елезагиће, Рогоље, Берек,  Кочићево, Карајзовце, Петрово Село, Сеферовце, Романовце, Вилусе, Машиће, Јурковицу и Миљевиће).</w:t>
      </w:r>
      <w:r>
        <w:rPr>
          <w:rFonts w:ascii="Arial" w:hAnsi="Arial" w:cs="Arial"/>
          <w:b w:val="0"/>
          <w:bCs w:val="0"/>
          <w:color w:val="FF0000"/>
          <w:lang w:val="sr-Cyrl-BA"/>
        </w:rPr>
        <w:t xml:space="preserve"> </w:t>
      </w:r>
    </w:p>
    <w:p w14:paraId="5FAA69FB" w14:textId="5A48EB94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У регистрационом периоду 2025\2026. година је регистровано 26 редова вожње.</w:t>
      </w:r>
    </w:p>
    <w:p w14:paraId="27B0ACF5" w14:textId="5792187B" w:rsidR="00C302A2" w:rsidRDefault="00C302A2" w:rsidP="00C302A2">
      <w:pPr>
        <w:ind w:firstLine="720"/>
        <w:jc w:val="both"/>
        <w:rPr>
          <w:rFonts w:ascii="Arial" w:hAnsi="Arial" w:cs="Arial"/>
          <w:b w:val="0"/>
          <w:lang w:val="sr-Cyrl-RS"/>
        </w:rPr>
      </w:pPr>
      <w:r>
        <w:rPr>
          <w:rFonts w:ascii="Arial" w:hAnsi="Arial" w:cs="Arial"/>
          <w:b w:val="0"/>
          <w:lang w:val="sr-Cyrl-RS"/>
        </w:rPr>
        <w:t>И у 2025. години Одјељење за комуналне и стамбене послове града Градишка је наставило</w:t>
      </w:r>
      <w:r w:rsidR="006A2140">
        <w:rPr>
          <w:rFonts w:ascii="Arial" w:hAnsi="Arial" w:cs="Arial"/>
          <w:b w:val="0"/>
          <w:lang w:val="sr-Latn-BA"/>
        </w:rPr>
        <w:t xml:space="preserve"> </w:t>
      </w:r>
      <w:r>
        <w:rPr>
          <w:rFonts w:ascii="Arial" w:hAnsi="Arial" w:cs="Arial"/>
          <w:b w:val="0"/>
          <w:lang w:val="sr-Cyrl-RS"/>
        </w:rPr>
        <w:t>са прикупљањем података о реализованом јавном превозу на нивоу мјесеца од стране АС Градишка, у смислу одржаних полазака по сваком реду вожње који се одвија са АС Градишка, као и о броју издатих возних карата.</w:t>
      </w:r>
    </w:p>
    <w:p w14:paraId="3FE806A0" w14:textId="31FE7A6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Град Градишка је сходно достављеним захтјевима вршио субвенционисање трошкова превозничких услуга за превознике, кроз анализу економске исплативости</w:t>
      </w:r>
      <w:r w:rsidR="006A2140"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(рентабилности) сваког реда вожње за који је било установљено да је нерентабилно</w:t>
      </w:r>
      <w:r w:rsidR="006A2140"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 xml:space="preserve">вршење јавног превоза лица, на одређеном броју редова вожње. </w:t>
      </w:r>
    </w:p>
    <w:p w14:paraId="4352F6E0" w14:textId="4A391102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У конкретном случају то су били превозници: ''Штрбац турс'' д.о.о. Градишка (линије за Орахову, Кијевце, Горњу Јурковицу, Јабланицу, Совјак и Турјак), Шатара Дејан с.п. Градишка (линије за Козинце и Греду), ''Путник тоурс'' д.о.о. Градишка (линије за Мачковац, Бок Јанковац, Брестовчину и Доњу Долину) и Видовић Дарко с.п. Градишка (линија за Миљевиће</w:t>
      </w:r>
      <w:r w:rsidR="006A2140">
        <w:rPr>
          <w:rFonts w:ascii="Arial" w:hAnsi="Arial" w:cs="Arial"/>
          <w:b w:val="0"/>
          <w:bCs w:val="0"/>
          <w:lang w:val="sr-Latn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из Нове Тополе)).</w:t>
      </w:r>
    </w:p>
    <w:p w14:paraId="60D5C58A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На овај начин град Градишка је и у 2025. години омогућио да се редовно врши јавни превоз грађана, а посебно дијела ученика који похађају основну и ученика који похађају средњу школу. Поред тога град Градишка је вршио и субвенционисање станичних услуга превозницима за оне линије које улазе у аутобуску станицу Градишка.</w:t>
      </w:r>
    </w:p>
    <w:p w14:paraId="04083AFE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Latn-BA"/>
        </w:rPr>
      </w:pPr>
      <w:r>
        <w:rPr>
          <w:rFonts w:ascii="Arial" w:hAnsi="Arial" w:cs="Arial"/>
          <w:b w:val="0"/>
          <w:bCs w:val="0"/>
          <w:lang w:val="sr-Cyrl-BA"/>
        </w:rPr>
        <w:tab/>
        <w:t>Укупан износ одобрених средстава за субвенцију јавног превоза у 2025. години је износио 413.787,68 КМ, од чега 389.953,60 КМ је субвенција превозницима за услугу јавног превоза лица, а 23.834,08 КМ је накнада АС Градишка за извршене станичне услуге у 2025. години према превозницима</w:t>
      </w:r>
      <w:r>
        <w:rPr>
          <w:rFonts w:ascii="Arial" w:hAnsi="Arial" w:cs="Arial"/>
          <w:b w:val="0"/>
          <w:bCs w:val="0"/>
          <w:lang w:val="sr-Latn-BA"/>
        </w:rPr>
        <w:t>.</w:t>
      </w:r>
    </w:p>
    <w:p w14:paraId="5685193C" w14:textId="13FF3870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Град по основу споразума са Аутобуском станицом Градишка, добија податке о извршеним поласцима превозника који улазе у аутобуску станицу, као и податке о броју издатих возних карата. </w:t>
      </w:r>
    </w:p>
    <w:p w14:paraId="0B91BCC2" w14:textId="409536C5" w:rsidR="00C302A2" w:rsidRPr="004A7508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Град Градишка и даље има у циљу да јавни превоз лица у наредном периоду уредно одржава обзиром да у структури путника највећи дио представљају ученици основних и средњих школа, затим радници и остали путници.</w:t>
      </w:r>
    </w:p>
    <w:p w14:paraId="71031060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lang w:val="sr-Cyrl-BA"/>
        </w:rPr>
      </w:pPr>
    </w:p>
    <w:p w14:paraId="1D983208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i/>
          <w:iCs/>
          <w:lang w:val="sr-Cyrl-BA"/>
        </w:rPr>
        <w:t>ТАКСИ ПРЕВОЗ НА ПОДРУЧЈУ ГРАДА</w:t>
      </w:r>
    </w:p>
    <w:p w14:paraId="72C419D2" w14:textId="77777777" w:rsidR="00C302A2" w:rsidRDefault="00C302A2" w:rsidP="00C302A2">
      <w:pPr>
        <w:tabs>
          <w:tab w:val="left" w:pos="0"/>
        </w:tabs>
        <w:jc w:val="both"/>
        <w:rPr>
          <w:rFonts w:ascii="Arial" w:eastAsia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br/>
      </w:r>
      <w:r>
        <w:rPr>
          <w:rFonts w:ascii="Arial" w:hAnsi="Arial" w:cs="Arial"/>
          <w:b w:val="0"/>
          <w:bCs w:val="0"/>
          <w:lang w:val="sr-Cyrl-BA"/>
        </w:rPr>
        <w:tab/>
        <w:t>У такси превозу на подручју градa Градишка тренутно је</w:t>
      </w:r>
      <w:r>
        <w:rPr>
          <w:rFonts w:ascii="Arial" w:hAnsi="Arial" w:cs="Arial"/>
          <w:b w:val="0"/>
          <w:bCs w:val="0"/>
          <w:color w:val="FF0000"/>
          <w:lang w:val="sr-Cyrl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регистровано 1</w:t>
      </w:r>
      <w:r>
        <w:rPr>
          <w:rFonts w:ascii="Arial" w:hAnsi="Arial" w:cs="Arial"/>
          <w:b w:val="0"/>
          <w:bCs w:val="0"/>
          <w:lang w:val="sr-Latn-BA"/>
        </w:rPr>
        <w:t>1</w:t>
      </w:r>
      <w:r>
        <w:rPr>
          <w:rFonts w:ascii="Arial" w:hAnsi="Arial" w:cs="Arial"/>
          <w:b w:val="0"/>
          <w:bCs w:val="0"/>
          <w:color w:val="FF0000"/>
          <w:lang w:val="sr-Cyrl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такси превозника, док их је у претходном извјештајном периоду било 1</w:t>
      </w:r>
      <w:r>
        <w:rPr>
          <w:rFonts w:ascii="Arial" w:hAnsi="Arial" w:cs="Arial"/>
          <w:b w:val="0"/>
          <w:bCs w:val="0"/>
          <w:lang w:val="sr-Latn-BA"/>
        </w:rPr>
        <w:t>2</w:t>
      </w:r>
      <w:r>
        <w:rPr>
          <w:rFonts w:ascii="Arial" w:hAnsi="Arial" w:cs="Arial"/>
          <w:b w:val="0"/>
          <w:bCs w:val="0"/>
          <w:lang w:val="sr-Cyrl-BA"/>
        </w:rPr>
        <w:t>.</w:t>
      </w:r>
    </w:p>
    <w:p w14:paraId="681F80FA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eastAsia="Arial" w:hAnsi="Arial" w:cs="Arial"/>
          <w:b w:val="0"/>
          <w:bCs w:val="0"/>
          <w:color w:val="FF0000"/>
          <w:lang w:val="sr-Cyrl-BA"/>
        </w:rPr>
        <w:t xml:space="preserve"> </w:t>
      </w:r>
      <w:r>
        <w:rPr>
          <w:rFonts w:ascii="Arial" w:hAnsi="Arial" w:cs="Arial"/>
          <w:b w:val="0"/>
          <w:bCs w:val="0"/>
          <w:color w:val="FF0000"/>
          <w:lang w:val="sr-Cyrl-BA"/>
        </w:rPr>
        <w:tab/>
      </w:r>
      <w:r>
        <w:rPr>
          <w:rFonts w:ascii="Arial" w:hAnsi="Arial" w:cs="Arial"/>
          <w:b w:val="0"/>
          <w:bCs w:val="0"/>
          <w:lang w:val="sr-Cyrl-BA"/>
        </w:rPr>
        <w:t>Важећом Одлуком о начину вршења такси превоза на подручју града предвиђено је 11 такси стајалишних мјеста, од којих су 3 на подручју града.</w:t>
      </w:r>
    </w:p>
    <w:p w14:paraId="1BA3E20C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Стајалишна мјеста су одређена и у другим већим насељеним мјестима града Градишка. Она својим бројем задовољавају такси превознике.</w:t>
      </w:r>
    </w:p>
    <w:p w14:paraId="7923970F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 Такси превозници најчешће користе такси стајалишта код аутобуске станице, као и она стајалишта према којима је већа фреквенција кретања људи.</w:t>
      </w:r>
    </w:p>
    <w:p w14:paraId="65671D32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И даље ово Одјељење сматра да би због задовољења потреба грађана, неопходно било иста одредити и на паркинг просторима на локалитетима веће атракције, као што су локације код спортске дворане Арена, као и околних тржних </w:t>
      </w:r>
      <w:r>
        <w:rPr>
          <w:rFonts w:ascii="Arial" w:hAnsi="Arial" w:cs="Arial"/>
          <w:b w:val="0"/>
          <w:bCs w:val="0"/>
          <w:lang w:val="sr-Cyrl-BA"/>
        </w:rPr>
        <w:lastRenderedPageBreak/>
        <w:t>центара, супермаркета и јавних установа или их у догледно вријеме покушати повезати са другим видовима јавног превоза.</w:t>
      </w:r>
    </w:p>
    <w:p w14:paraId="3FD80605" w14:textId="2989FDE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Поред тога потребно је да т</w:t>
      </w:r>
      <w:r w:rsidR="001A55AA">
        <w:rPr>
          <w:rFonts w:ascii="Arial" w:hAnsi="Arial" w:cs="Arial"/>
          <w:b w:val="0"/>
          <w:bCs w:val="0"/>
          <w:lang w:val="sr-Cyrl-BA"/>
        </w:rPr>
        <w:t>акси</w:t>
      </w:r>
      <w:r>
        <w:rPr>
          <w:rFonts w:ascii="Arial" w:hAnsi="Arial" w:cs="Arial"/>
          <w:b w:val="0"/>
          <w:bCs w:val="0"/>
          <w:lang w:val="sr-Cyrl-BA"/>
        </w:rPr>
        <w:t xml:space="preserve"> превозници унаприједе самопромоцију својих услуга и маркетинг кроз разне пакете, како путем локалних медија, тако и путем друштвених мрежа. </w:t>
      </w:r>
    </w:p>
    <w:p w14:paraId="081149A6" w14:textId="3762FC35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</w:r>
    </w:p>
    <w:p w14:paraId="1A432CCA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i/>
          <w:iCs/>
          <w:lang w:val="sr-Cyrl-BA"/>
        </w:rPr>
        <w:t>ЗАКЉУЧАК</w:t>
      </w:r>
      <w:r>
        <w:rPr>
          <w:rFonts w:ascii="Arial" w:hAnsi="Arial" w:cs="Arial"/>
          <w:i/>
          <w:iCs/>
          <w:lang w:val="sr-Cyrl-BA"/>
        </w:rPr>
        <w:tab/>
      </w:r>
    </w:p>
    <w:p w14:paraId="1E19FFCD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lang w:val="sr-Cyrl-BA"/>
        </w:rPr>
      </w:pPr>
    </w:p>
    <w:p w14:paraId="66771AB6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b w:val="0"/>
          <w:bCs w:val="0"/>
          <w:lang w:val="sr-Latn-BA"/>
        </w:rPr>
        <w:t>M</w:t>
      </w:r>
      <w:r>
        <w:rPr>
          <w:rFonts w:ascii="Arial" w:hAnsi="Arial" w:cs="Arial"/>
          <w:b w:val="0"/>
          <w:bCs w:val="0"/>
          <w:lang w:val="sr-Cyrl-BA"/>
        </w:rPr>
        <w:t xml:space="preserve">оже се закључити да се у наредном периоду у погледу унапријеђења јавног превоза лица у друмском саобраћају жели унаприједити мобилност у граду на начин да јавни приградски превоз путника у највећем дијелу креће са аутобуске станице Градишка, а да путници, као крајњи корисници буду у сваком погледу задовољнији и имају боље услове приликом кориштења јавног превоза аутобусом. </w:t>
      </w:r>
    </w:p>
    <w:p w14:paraId="02489DA6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Град Градишка ће и у наредном периоду наставити са пружањем субвенција за трошкове нерентабилних линија, превозницима који врше услугу јавног превоза лица за које се утврди да су исте економски неодрживе, а да постоји потреба за јавним превозом лица на истим.</w:t>
      </w:r>
    </w:p>
    <w:p w14:paraId="36D4A180" w14:textId="2DDE3F7E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Оправданост даљег субвенционисања нерентабилних линија приградског саобраћаја аутобусом у наредном периоду, требало би да зависи од вјеродостојности финансијских показатеља пословања сваког превозника, како би су</w:t>
      </w:r>
      <w:r w:rsidR="001A55AA">
        <w:rPr>
          <w:rFonts w:ascii="Arial" w:hAnsi="Arial" w:cs="Arial"/>
          <w:b w:val="0"/>
          <w:bCs w:val="0"/>
          <w:lang w:val="sr-Cyrl-BA"/>
        </w:rPr>
        <w:t>б</w:t>
      </w:r>
      <w:r>
        <w:rPr>
          <w:rFonts w:ascii="Arial" w:hAnsi="Arial" w:cs="Arial"/>
          <w:b w:val="0"/>
          <w:bCs w:val="0"/>
          <w:lang w:val="sr-Cyrl-BA"/>
        </w:rPr>
        <w:t>венција истих имала свој смисао.</w:t>
      </w:r>
    </w:p>
    <w:p w14:paraId="16448E30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Поред горе наведених активности од стране Града би се требало наставити са инфраструктурним опремањем улица у смислу изградње нових аутобуских стајалишта, као предуслова за развој и организацију будућег јавног градског превоза. </w:t>
      </w:r>
    </w:p>
    <w:p w14:paraId="5F0F7405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Такође паралелно са наведеним треба развијати и мрежу будућих бициклистичких стаза и пјешачких површина на градским улицама у сврху подстицања становништва за повећање бициклизма и пјешачења у градском подручју. Наведено би довело до повећања укупне саобраћајне мобилности становништва, а такође и до смањења емисије штетних гасова у најужем дијелу града кроз смањену употребу путничких возила. </w:t>
      </w:r>
    </w:p>
    <w:p w14:paraId="6EE2C093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Поред инфраструктурног опремања и његовог довођења у спрегу са савременим софтверским алатима који су већ у примјени у градовима регије, добио би се ефикасан систем саобраћаја организован на савременој информационој-комуникационој технологији, ради бољег и организованијег саобраћаја у циљу задовољења потреба свих грађана града Градишке. </w:t>
      </w:r>
    </w:p>
    <w:p w14:paraId="0C02C2AA" w14:textId="42367D92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>Свакако и даље треба радити на промјени ставова и свјести грађана о коришћењу средстава јавног превоза и немоторизованих превозних средстава базираних на принципима заштите и очувања животне средине</w:t>
      </w:r>
      <w:r w:rsidR="001A55AA">
        <w:rPr>
          <w:rFonts w:ascii="Arial" w:hAnsi="Arial" w:cs="Arial"/>
          <w:b w:val="0"/>
          <w:bCs w:val="0"/>
          <w:lang w:val="sr-Cyrl-BA"/>
        </w:rPr>
        <w:t xml:space="preserve"> </w:t>
      </w:r>
      <w:r>
        <w:rPr>
          <w:rFonts w:ascii="Arial" w:hAnsi="Arial" w:cs="Arial"/>
          <w:b w:val="0"/>
          <w:bCs w:val="0"/>
          <w:lang w:val="sr-Cyrl-BA"/>
        </w:rPr>
        <w:t>(бициклизам и пјешачење), односно указати им на њихове предности које иста доносе у односу на досадашњи начин коришћења аутомобила и његове штетне утицаје по околину и здравље људи.</w:t>
      </w:r>
    </w:p>
    <w:p w14:paraId="60F29F97" w14:textId="77777777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На овај начин Градска управа би дала свој допринос у погледу организације и рада јавног превоза лица на подручју града Градишка и наставила да на одговоран начин истим управља. </w:t>
      </w:r>
    </w:p>
    <w:p w14:paraId="1B86F623" w14:textId="1BD4AD48" w:rsidR="00C302A2" w:rsidRDefault="00C302A2" w:rsidP="00C302A2">
      <w:pPr>
        <w:tabs>
          <w:tab w:val="left" w:pos="0"/>
        </w:tabs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 </w:t>
      </w:r>
      <w:r>
        <w:rPr>
          <w:rFonts w:ascii="Arial" w:hAnsi="Arial" w:cs="Arial"/>
          <w:b w:val="0"/>
          <w:bCs w:val="0"/>
          <w:lang w:val="sr-Cyrl-BA"/>
        </w:rPr>
        <w:tab/>
      </w:r>
      <w:r>
        <w:rPr>
          <w:rFonts w:ascii="Arial" w:hAnsi="Arial" w:cs="Arial"/>
          <w:b w:val="0"/>
          <w:bCs w:val="0"/>
          <w:lang w:val="sr-Cyrl-BA"/>
        </w:rPr>
        <w:tab/>
      </w:r>
    </w:p>
    <w:p w14:paraId="239D6B18" w14:textId="77777777" w:rsidR="00C302A2" w:rsidRDefault="00C302A2" w:rsidP="00C302A2">
      <w:pPr>
        <w:tabs>
          <w:tab w:val="left" w:pos="0"/>
        </w:tabs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       ОБРАЂИВАЧ 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 ОВЛАШТЕНИ ПРЕДЛАГАЧ</w:t>
      </w:r>
    </w:p>
    <w:p w14:paraId="69222B0B" w14:textId="77777777" w:rsidR="00C302A2" w:rsidRDefault="00C302A2" w:rsidP="00C302A2">
      <w:pPr>
        <w:tabs>
          <w:tab w:val="left" w:pos="0"/>
        </w:tabs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Одјељење за комуналне и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        ГРАДОНАЧЕЛНИК</w:t>
      </w:r>
    </w:p>
    <w:p w14:paraId="5EDA2F18" w14:textId="77777777" w:rsidR="00C302A2" w:rsidRDefault="00C302A2" w:rsidP="00C302A2">
      <w:pPr>
        <w:tabs>
          <w:tab w:val="left" w:pos="0"/>
        </w:tabs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  стамбене послове</w:t>
      </w:r>
    </w:p>
    <w:p w14:paraId="734D8D59" w14:textId="77777777" w:rsidR="00C302A2" w:rsidRDefault="00C302A2" w:rsidP="00C302A2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                 </w:t>
      </w:r>
    </w:p>
    <w:p w14:paraId="0134832D" w14:textId="77777777" w:rsidR="00C302A2" w:rsidRDefault="00C302A2" w:rsidP="00C302A2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______________________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_______________________</w:t>
      </w:r>
    </w:p>
    <w:p w14:paraId="569901EE" w14:textId="77777777" w:rsidR="00C302A2" w:rsidRDefault="00C302A2" w:rsidP="00C302A2">
      <w:pPr>
        <w:rPr>
          <w:sz w:val="22"/>
          <w:szCs w:val="22"/>
          <w:lang w:val="sr-Cyrl-BA"/>
        </w:rPr>
      </w:pPr>
      <w:r>
        <w:rPr>
          <w:rFonts w:ascii="Arial" w:hAnsi="Arial" w:cs="Arial"/>
          <w:lang w:val="sr-Cyrl-BA"/>
        </w:rPr>
        <w:lastRenderedPageBreak/>
        <w:t xml:space="preserve">       </w:t>
      </w:r>
    </w:p>
    <w:p w14:paraId="46EBE439" w14:textId="77777777" w:rsidR="00C302A2" w:rsidRDefault="00C302A2" w:rsidP="00C302A2">
      <w:pPr>
        <w:rPr>
          <w:sz w:val="22"/>
          <w:szCs w:val="22"/>
          <w:lang w:val="sr-Cyrl-BA"/>
        </w:rPr>
      </w:pPr>
    </w:p>
    <w:p w14:paraId="5289EAC6" w14:textId="77777777" w:rsidR="00C302A2" w:rsidRDefault="00C302A2" w:rsidP="00034BB8">
      <w:pPr>
        <w:jc w:val="center"/>
        <w:rPr>
          <w:rFonts w:ascii="Arial" w:hAnsi="Arial" w:cs="Arial"/>
          <w:lang w:val="sr-Cyrl-BA"/>
        </w:rPr>
      </w:pPr>
    </w:p>
    <w:sectPr w:rsidR="00C302A2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D40FE" w14:textId="77777777" w:rsidR="00E73CDB" w:rsidRDefault="00E73CDB" w:rsidP="00F76077">
      <w:r>
        <w:separator/>
      </w:r>
    </w:p>
  </w:endnote>
  <w:endnote w:type="continuationSeparator" w:id="0">
    <w:p w14:paraId="52481E62" w14:textId="77777777" w:rsidR="00E73CDB" w:rsidRDefault="00E73CDB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3FE1" w14:textId="255061EE" w:rsidR="00B30CD6" w:rsidRPr="0009466A" w:rsidRDefault="00C302A2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756D88" wp14:editId="7AFF0ADB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186BA4"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" strokeweight=".5pt"/>
          </w:pict>
        </mc:Fallback>
      </mc:AlternateContent>
    </w:r>
    <w:r w:rsidR="00B30CD6" w:rsidRPr="0009466A">
      <w:rPr>
        <w:b w:val="0"/>
        <w:i/>
        <w:sz w:val="18"/>
        <w:szCs w:val="18"/>
        <w:lang w:val="sr-Cyrl-BA"/>
      </w:rPr>
      <w:fldChar w:fldCharType="begin"/>
    </w:r>
    <w:r w:rsidR="00B30CD6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B30CD6" w:rsidRPr="0009466A">
      <w:rPr>
        <w:b w:val="0"/>
        <w:i/>
        <w:sz w:val="18"/>
        <w:szCs w:val="18"/>
        <w:lang w:val="sr-Cyrl-BA"/>
      </w:rPr>
      <w:fldChar w:fldCharType="separate"/>
    </w:r>
    <w:r w:rsidR="00743CF7">
      <w:rPr>
        <w:b w:val="0"/>
        <w:i/>
        <w:noProof/>
        <w:sz w:val="18"/>
        <w:szCs w:val="18"/>
        <w:lang w:val="sr-Cyrl-BA"/>
      </w:rPr>
      <w:t>3</w:t>
    </w:r>
    <w:r w:rsidR="00B30CD6" w:rsidRPr="0009466A">
      <w:rPr>
        <w:b w:val="0"/>
        <w:i/>
        <w:sz w:val="18"/>
        <w:szCs w:val="18"/>
        <w:lang w:val="sr-Cyrl-BA"/>
      </w:rPr>
      <w:fldChar w:fldCharType="end"/>
    </w:r>
    <w:r w:rsidR="00B30CD6" w:rsidRPr="00757ADF">
      <w:rPr>
        <w:b w:val="0"/>
        <w:i/>
        <w:sz w:val="18"/>
        <w:szCs w:val="18"/>
        <w:lang w:val="sr-Cyrl-BA"/>
      </w:rPr>
      <w:t>/</w:t>
    </w:r>
    <w:r w:rsidR="00E73CDB">
      <w:fldChar w:fldCharType="begin"/>
    </w:r>
    <w:r w:rsidR="00E73CDB">
      <w:instrText xml:space="preserve"> NUMPAGES   \* MERGEFORMAT </w:instrText>
    </w:r>
    <w:r w:rsidR="00E73CDB">
      <w:fldChar w:fldCharType="separate"/>
    </w:r>
    <w:r w:rsidR="00743CF7" w:rsidRPr="00743CF7">
      <w:rPr>
        <w:b w:val="0"/>
        <w:i/>
        <w:noProof/>
        <w:sz w:val="18"/>
        <w:szCs w:val="18"/>
        <w:lang w:val="sr-Cyrl-BA"/>
      </w:rPr>
      <w:t>4</w:t>
    </w:r>
    <w:r w:rsidR="00E73CDB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1233" w14:textId="7EE0F55C" w:rsidR="00B30CD6" w:rsidRPr="0009466A" w:rsidRDefault="00C302A2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9989F1B" wp14:editId="2EF16CA0">
              <wp:simplePos x="0" y="0"/>
              <wp:positionH relativeFrom="column">
                <wp:posOffset>-368300</wp:posOffset>
              </wp:positionH>
              <wp:positionV relativeFrom="paragraph">
                <wp:posOffset>-109220</wp:posOffset>
              </wp:positionV>
              <wp:extent cx="6398260" cy="0"/>
              <wp:effectExtent l="12700" t="5080" r="889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826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F41957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pt,-8.6pt" to="474.8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" strokeweight=".5pt"/>
          </w:pict>
        </mc:Fallback>
      </mc:AlternateContent>
    </w:r>
    <w:r w:rsidR="00B30CD6" w:rsidRPr="00757ADF">
      <w:rPr>
        <w:b w:val="0"/>
        <w:i/>
        <w:sz w:val="18"/>
        <w:szCs w:val="18"/>
        <w:lang w:val="sr-Cyrl-BA"/>
      </w:rPr>
      <w:t xml:space="preserve"> 1/</w:t>
    </w:r>
    <w:r w:rsidR="00E73CDB">
      <w:fldChar w:fldCharType="begin"/>
    </w:r>
    <w:r w:rsidR="00E73CDB">
      <w:instrText xml:space="preserve"> NUMPAGES   \* MERGEFORMAT </w:instrText>
    </w:r>
    <w:r w:rsidR="00E73CDB">
      <w:fldChar w:fldCharType="separate"/>
    </w:r>
    <w:r w:rsidR="00743CF7" w:rsidRPr="00743CF7">
      <w:rPr>
        <w:b w:val="0"/>
        <w:i/>
        <w:noProof/>
        <w:sz w:val="18"/>
        <w:szCs w:val="18"/>
        <w:lang w:val="sr-Cyrl-BA"/>
      </w:rPr>
      <w:t>4</w:t>
    </w:r>
    <w:r w:rsidR="00E73CDB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C901" w14:textId="77777777" w:rsidR="00E73CDB" w:rsidRDefault="00E73CDB" w:rsidP="00F76077">
      <w:r>
        <w:separator/>
      </w:r>
    </w:p>
  </w:footnote>
  <w:footnote w:type="continuationSeparator" w:id="0">
    <w:p w14:paraId="16957C1B" w14:textId="77777777" w:rsidR="00E73CDB" w:rsidRDefault="00E73CDB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D6A7" w14:textId="471724F1" w:rsidR="00B30CD6" w:rsidRDefault="00C302A2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F7EBFF" wp14:editId="0D6A6E53">
              <wp:simplePos x="0" y="0"/>
              <wp:positionH relativeFrom="column">
                <wp:posOffset>996950</wp:posOffset>
              </wp:positionH>
              <wp:positionV relativeFrom="paragraph">
                <wp:posOffset>572135</wp:posOffset>
              </wp:positionV>
              <wp:extent cx="5033010" cy="574675"/>
              <wp:effectExtent l="0" t="635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1C90AC" w14:textId="77777777" w:rsidR="00B30CD6" w:rsidRPr="00B127C7" w:rsidRDefault="00B30CD6" w:rsidP="00B127C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7EBF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.5pt;margin-top:45.05pt;width:396.3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" filled="f" stroked="f">
              <v:textbox>
                <w:txbxContent>
                  <w:p w14:paraId="3F1C90AC" w14:textId="77777777" w:rsidR="00B30CD6" w:rsidRPr="00B127C7" w:rsidRDefault="00B30CD6" w:rsidP="00B127C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30CD6">
      <w:rPr>
        <w:noProof/>
      </w:rPr>
      <w:drawing>
        <wp:anchor distT="0" distB="0" distL="114300" distR="114300" simplePos="0" relativeHeight="251657216" behindDoc="0" locked="0" layoutInCell="1" allowOverlap="1" wp14:anchorId="16257D91" wp14:editId="374ED4AE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19050" t="0" r="9525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641E91B" wp14:editId="231A7A66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635" t="254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D2833" w14:textId="77777777" w:rsidR="00B30CD6" w:rsidRPr="00F76077" w:rsidRDefault="00B30CD6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1EEBF5F6" w14:textId="77777777" w:rsidR="00B30CD6" w:rsidRPr="00F76077" w:rsidRDefault="00B30CD6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Pr="00F76077">
                            <w:rPr>
                              <w:rFonts w:ascii="Arial" w:hAnsi="Arial" w:cs="Arial"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5D479224" w14:textId="77777777" w:rsidR="00B30CD6" w:rsidRDefault="00B30CD6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lang w:val="hr-HR"/>
                            </w:rPr>
                            <w:t>ГРАДОНАЧЕЛНИК</w:t>
                          </w:r>
                        </w:p>
                        <w:p w14:paraId="1DBE5CA0" w14:textId="77777777" w:rsidR="00B30CD6" w:rsidRPr="00BA75B7" w:rsidRDefault="00B30CD6" w:rsidP="00FB1893">
                          <w:pPr>
                            <w:spacing w:after="40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ГРАДСКА УПРАВА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41E91B" id="Text Box 4" o:spid="_x0000_s1027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" filled="f" stroked="f">
              <v:textbox>
                <w:txbxContent>
                  <w:p w14:paraId="45AD2833" w14:textId="77777777" w:rsidR="00B30CD6" w:rsidRPr="00F76077" w:rsidRDefault="00B30CD6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  <w:p w14:paraId="1EEBF5F6" w14:textId="77777777" w:rsidR="00B30CD6" w:rsidRPr="00F76077" w:rsidRDefault="00B30CD6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>ГРАД</w:t>
                    </w:r>
                    <w:r w:rsidRPr="00F76077">
                      <w:rPr>
                        <w:rFonts w:ascii="Arial" w:hAnsi="Arial" w:cs="Arial"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5D479224" w14:textId="77777777" w:rsidR="00B30CD6" w:rsidRDefault="00B30CD6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  <w:lang w:val="hr-HR"/>
                      </w:rPr>
                      <w:t>ГРАДОНАЧЕЛНИК</w:t>
                    </w:r>
                  </w:p>
                  <w:p w14:paraId="1DBE5CA0" w14:textId="77777777" w:rsidR="00B30CD6" w:rsidRPr="00BA75B7" w:rsidRDefault="00B30CD6" w:rsidP="00FB1893">
                    <w:pPr>
                      <w:spacing w:after="40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ГРАДСКА УПРАВА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9C034A"/>
    <w:multiLevelType w:val="hybridMultilevel"/>
    <w:tmpl w:val="F4E47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603EBD"/>
    <w:multiLevelType w:val="hybridMultilevel"/>
    <w:tmpl w:val="D7B82B68"/>
    <w:lvl w:ilvl="0" w:tplc="79EE0CD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9616D"/>
    <w:multiLevelType w:val="hybridMultilevel"/>
    <w:tmpl w:val="C374D260"/>
    <w:lvl w:ilvl="0" w:tplc="0409000F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attachedTemplate r:id="rId1"/>
  <w:defaultTabStop w:val="720"/>
  <w:hyphenationZone w:val="425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02"/>
    <w:rsid w:val="00017202"/>
    <w:rsid w:val="00034BB8"/>
    <w:rsid w:val="00064C1B"/>
    <w:rsid w:val="0009466A"/>
    <w:rsid w:val="000A2AC2"/>
    <w:rsid w:val="000A7750"/>
    <w:rsid w:val="000C63F7"/>
    <w:rsid w:val="000D57C3"/>
    <w:rsid w:val="000F592C"/>
    <w:rsid w:val="00110472"/>
    <w:rsid w:val="00141CFE"/>
    <w:rsid w:val="0017789A"/>
    <w:rsid w:val="00183F18"/>
    <w:rsid w:val="00191861"/>
    <w:rsid w:val="001A09E6"/>
    <w:rsid w:val="001A55AA"/>
    <w:rsid w:val="001A704C"/>
    <w:rsid w:val="001C50FE"/>
    <w:rsid w:val="001C54F9"/>
    <w:rsid w:val="00202CA7"/>
    <w:rsid w:val="002125B8"/>
    <w:rsid w:val="0021594D"/>
    <w:rsid w:val="002837E4"/>
    <w:rsid w:val="002965FA"/>
    <w:rsid w:val="002A5BDC"/>
    <w:rsid w:val="002B12CD"/>
    <w:rsid w:val="002B32A3"/>
    <w:rsid w:val="002F3C78"/>
    <w:rsid w:val="00312809"/>
    <w:rsid w:val="003234BC"/>
    <w:rsid w:val="00341666"/>
    <w:rsid w:val="00370A8F"/>
    <w:rsid w:val="003B391B"/>
    <w:rsid w:val="003C5466"/>
    <w:rsid w:val="003E46C6"/>
    <w:rsid w:val="00443456"/>
    <w:rsid w:val="00446303"/>
    <w:rsid w:val="00474DA8"/>
    <w:rsid w:val="0047681C"/>
    <w:rsid w:val="00483939"/>
    <w:rsid w:val="004964FD"/>
    <w:rsid w:val="004A7508"/>
    <w:rsid w:val="004B054E"/>
    <w:rsid w:val="004B2D2B"/>
    <w:rsid w:val="004C41F7"/>
    <w:rsid w:val="004F29E1"/>
    <w:rsid w:val="00500359"/>
    <w:rsid w:val="00503D39"/>
    <w:rsid w:val="00525417"/>
    <w:rsid w:val="00530891"/>
    <w:rsid w:val="00546071"/>
    <w:rsid w:val="00564E46"/>
    <w:rsid w:val="00575BE9"/>
    <w:rsid w:val="0058273F"/>
    <w:rsid w:val="005B5CBE"/>
    <w:rsid w:val="0061062B"/>
    <w:rsid w:val="00616A70"/>
    <w:rsid w:val="006314F2"/>
    <w:rsid w:val="00645210"/>
    <w:rsid w:val="00651343"/>
    <w:rsid w:val="006728D7"/>
    <w:rsid w:val="00684BF8"/>
    <w:rsid w:val="006858F9"/>
    <w:rsid w:val="00696CBF"/>
    <w:rsid w:val="006A2140"/>
    <w:rsid w:val="006A215B"/>
    <w:rsid w:val="006B2927"/>
    <w:rsid w:val="006B2AA9"/>
    <w:rsid w:val="006B3642"/>
    <w:rsid w:val="006E2F34"/>
    <w:rsid w:val="006E64D2"/>
    <w:rsid w:val="00713B31"/>
    <w:rsid w:val="00743CF7"/>
    <w:rsid w:val="007524C4"/>
    <w:rsid w:val="00757ADF"/>
    <w:rsid w:val="00757C4D"/>
    <w:rsid w:val="00781160"/>
    <w:rsid w:val="007922C6"/>
    <w:rsid w:val="007C29F4"/>
    <w:rsid w:val="007D0D28"/>
    <w:rsid w:val="007E6B85"/>
    <w:rsid w:val="007F0952"/>
    <w:rsid w:val="00801CB3"/>
    <w:rsid w:val="00814717"/>
    <w:rsid w:val="00820C16"/>
    <w:rsid w:val="008371CD"/>
    <w:rsid w:val="008472B8"/>
    <w:rsid w:val="00885C08"/>
    <w:rsid w:val="008A1BD6"/>
    <w:rsid w:val="008D455D"/>
    <w:rsid w:val="008D5CC2"/>
    <w:rsid w:val="008D70E4"/>
    <w:rsid w:val="008E3FC3"/>
    <w:rsid w:val="008E70BA"/>
    <w:rsid w:val="00906EC4"/>
    <w:rsid w:val="00910EAE"/>
    <w:rsid w:val="00932A57"/>
    <w:rsid w:val="00946FC4"/>
    <w:rsid w:val="00980112"/>
    <w:rsid w:val="009944B2"/>
    <w:rsid w:val="009C7068"/>
    <w:rsid w:val="009C73F9"/>
    <w:rsid w:val="009E6F36"/>
    <w:rsid w:val="00A01A41"/>
    <w:rsid w:val="00A0413D"/>
    <w:rsid w:val="00A5430D"/>
    <w:rsid w:val="00A70828"/>
    <w:rsid w:val="00A8617E"/>
    <w:rsid w:val="00AA4452"/>
    <w:rsid w:val="00AC23F0"/>
    <w:rsid w:val="00AC3190"/>
    <w:rsid w:val="00AC44CD"/>
    <w:rsid w:val="00AD3BB2"/>
    <w:rsid w:val="00AE17FF"/>
    <w:rsid w:val="00AF4F32"/>
    <w:rsid w:val="00B05839"/>
    <w:rsid w:val="00B127C7"/>
    <w:rsid w:val="00B179F3"/>
    <w:rsid w:val="00B30397"/>
    <w:rsid w:val="00B30CD6"/>
    <w:rsid w:val="00B36846"/>
    <w:rsid w:val="00B37490"/>
    <w:rsid w:val="00B52A72"/>
    <w:rsid w:val="00B67C68"/>
    <w:rsid w:val="00B73DF9"/>
    <w:rsid w:val="00B838E4"/>
    <w:rsid w:val="00BA5C16"/>
    <w:rsid w:val="00BA75B7"/>
    <w:rsid w:val="00BE2BCE"/>
    <w:rsid w:val="00C2021B"/>
    <w:rsid w:val="00C27299"/>
    <w:rsid w:val="00C302A2"/>
    <w:rsid w:val="00C34DC7"/>
    <w:rsid w:val="00C817A8"/>
    <w:rsid w:val="00C948C3"/>
    <w:rsid w:val="00CA40E2"/>
    <w:rsid w:val="00CC0D93"/>
    <w:rsid w:val="00CC63A2"/>
    <w:rsid w:val="00CD46A5"/>
    <w:rsid w:val="00CE233C"/>
    <w:rsid w:val="00CE521E"/>
    <w:rsid w:val="00CF1895"/>
    <w:rsid w:val="00D43C41"/>
    <w:rsid w:val="00D5221C"/>
    <w:rsid w:val="00D55C1A"/>
    <w:rsid w:val="00D9221C"/>
    <w:rsid w:val="00DA7521"/>
    <w:rsid w:val="00DB3C54"/>
    <w:rsid w:val="00DC4BED"/>
    <w:rsid w:val="00DC4E68"/>
    <w:rsid w:val="00DC62EE"/>
    <w:rsid w:val="00DD1C11"/>
    <w:rsid w:val="00DD6DAC"/>
    <w:rsid w:val="00DE26D5"/>
    <w:rsid w:val="00DF3AD4"/>
    <w:rsid w:val="00DF624E"/>
    <w:rsid w:val="00E06595"/>
    <w:rsid w:val="00E25555"/>
    <w:rsid w:val="00E37915"/>
    <w:rsid w:val="00E47AFC"/>
    <w:rsid w:val="00E55779"/>
    <w:rsid w:val="00E73CDB"/>
    <w:rsid w:val="00E84C28"/>
    <w:rsid w:val="00E950D7"/>
    <w:rsid w:val="00EC4018"/>
    <w:rsid w:val="00EC6B03"/>
    <w:rsid w:val="00EE030C"/>
    <w:rsid w:val="00EE0B06"/>
    <w:rsid w:val="00EE570A"/>
    <w:rsid w:val="00F00604"/>
    <w:rsid w:val="00F03370"/>
    <w:rsid w:val="00F13113"/>
    <w:rsid w:val="00F16D39"/>
    <w:rsid w:val="00F17A6A"/>
    <w:rsid w:val="00F21227"/>
    <w:rsid w:val="00F400DA"/>
    <w:rsid w:val="00F46E63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1A5AC"/>
  <w15:docId w15:val="{6CA8A57E-37C2-487F-A603-505D4AFD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02A2"/>
    <w:pPr>
      <w:keepNext/>
      <w:numPr>
        <w:numId w:val="2"/>
      </w:numPr>
      <w:suppressAutoHyphens/>
      <w:jc w:val="both"/>
      <w:outlineLvl w:val="0"/>
    </w:pPr>
    <w:rPr>
      <w:rFonts w:eastAsia="Times New Roman"/>
      <w:i/>
      <w:kern w:val="2"/>
      <w:sz w:val="22"/>
      <w:lang w:val="sl-SI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CA40E2"/>
    <w:pPr>
      <w:tabs>
        <w:tab w:val="left" w:pos="6975"/>
      </w:tabs>
      <w:suppressAutoHyphens/>
      <w:jc w:val="both"/>
    </w:pPr>
    <w:rPr>
      <w:rFonts w:eastAsia="Times New Roman"/>
      <w:b w:val="0"/>
      <w:bCs w:val="0"/>
      <w:kern w:val="0"/>
      <w:lang w:val="sr-Latn-BA" w:eastAsia="zh-CN"/>
    </w:rPr>
  </w:style>
  <w:style w:type="character" w:customStyle="1" w:styleId="BodyTextChar">
    <w:name w:val="Body Text Char"/>
    <w:basedOn w:val="DefaultParagraphFont"/>
    <w:link w:val="BodyText"/>
    <w:semiHidden/>
    <w:rsid w:val="00CA40E2"/>
    <w:rPr>
      <w:rFonts w:eastAsia="Times New Roman"/>
      <w:sz w:val="24"/>
      <w:szCs w:val="24"/>
      <w:lang w:val="sr-Latn-BA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C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1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1F7"/>
    <w:rPr>
      <w:b/>
      <w:bCs/>
      <w:kern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1F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1F7"/>
    <w:rPr>
      <w:b/>
      <w:bCs/>
      <w:kern w:val="24"/>
    </w:rPr>
  </w:style>
  <w:style w:type="character" w:customStyle="1" w:styleId="Heading1Char">
    <w:name w:val="Heading 1 Char"/>
    <w:basedOn w:val="DefaultParagraphFont"/>
    <w:link w:val="Heading1"/>
    <w:rsid w:val="00C302A2"/>
    <w:rPr>
      <w:rFonts w:eastAsia="Times New Roman"/>
      <w:b/>
      <w:bCs/>
      <w:i/>
      <w:kern w:val="2"/>
      <w:sz w:val="22"/>
      <w:szCs w:val="24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27djunicm\Downloads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C0C1-05F3-48F5-8D89-5160552A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unutrasnji.dot</Template>
  <TotalTime>23</TotalTime>
  <Pages>5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Slavko Kalinić</cp:lastModifiedBy>
  <cp:revision>8</cp:revision>
  <cp:lastPrinted>2024-07-29T06:26:00Z</cp:lastPrinted>
  <dcterms:created xsi:type="dcterms:W3CDTF">2026-01-20T06:44:00Z</dcterms:created>
  <dcterms:modified xsi:type="dcterms:W3CDTF">2026-01-23T12:29:00Z</dcterms:modified>
</cp:coreProperties>
</file>